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6AB" w:rsidRPr="00556F1E" w:rsidRDefault="001F36AB" w:rsidP="001F36AB">
      <w:pPr>
        <w:spacing w:line="360" w:lineRule="auto"/>
        <w:rPr>
          <w:rFonts w:ascii="Times New Roman" w:hAnsi="Times New Roman" w:cs="Times New Roman"/>
          <w:b/>
          <w:lang w:val="en-US"/>
        </w:rPr>
      </w:pPr>
      <w:r w:rsidRPr="00556F1E">
        <w:rPr>
          <w:rFonts w:ascii="Times New Roman" w:hAnsi="Times New Roman" w:cs="Times New Roman"/>
          <w:b/>
          <w:lang w:val="en-US"/>
        </w:rPr>
        <w:t xml:space="preserve">Feedback Loops of </w:t>
      </w:r>
      <w:proofErr w:type="spellStart"/>
      <w:r w:rsidRPr="00556F1E">
        <w:rPr>
          <w:rFonts w:ascii="Times New Roman" w:hAnsi="Times New Roman" w:cs="Times New Roman"/>
          <w:b/>
          <w:lang w:val="en-US"/>
        </w:rPr>
        <w:t>Disneyfication</w:t>
      </w:r>
      <w:proofErr w:type="spellEnd"/>
      <w:r w:rsidRPr="00556F1E">
        <w:rPr>
          <w:rFonts w:ascii="Times New Roman" w:hAnsi="Times New Roman" w:cs="Times New Roman"/>
          <w:b/>
          <w:lang w:val="en-US"/>
        </w:rPr>
        <w:t>: From Theme Parks to Urban Spaces and Back</w:t>
      </w:r>
    </w:p>
    <w:p w:rsidR="001F36AB" w:rsidRPr="00556F1E" w:rsidRDefault="001F36AB" w:rsidP="001F36AB">
      <w:pPr>
        <w:spacing w:line="360" w:lineRule="auto"/>
        <w:rPr>
          <w:rFonts w:ascii="Times New Roman" w:hAnsi="Times New Roman" w:cs="Times New Roman"/>
          <w:i/>
          <w:lang w:val="en-US"/>
        </w:rPr>
      </w:pPr>
      <w:proofErr w:type="spellStart"/>
      <w:r w:rsidRPr="00556F1E">
        <w:rPr>
          <w:rFonts w:ascii="Times New Roman" w:hAnsi="Times New Roman" w:cs="Times New Roman"/>
          <w:i/>
          <w:lang w:val="en-US"/>
        </w:rPr>
        <w:t>Filippo</w:t>
      </w:r>
      <w:proofErr w:type="spellEnd"/>
      <w:r w:rsidRPr="00556F1E">
        <w:rPr>
          <w:rFonts w:ascii="Times New Roman" w:hAnsi="Times New Roman" w:cs="Times New Roman"/>
          <w:i/>
          <w:lang w:val="en-US"/>
        </w:rPr>
        <w:t xml:space="preserve"> </w:t>
      </w:r>
      <w:proofErr w:type="spellStart"/>
      <w:r w:rsidRPr="00556F1E">
        <w:rPr>
          <w:rFonts w:ascii="Times New Roman" w:hAnsi="Times New Roman" w:cs="Times New Roman"/>
          <w:i/>
          <w:lang w:val="en-US"/>
        </w:rPr>
        <w:t>Carlà-Uhink</w:t>
      </w:r>
      <w:proofErr w:type="spellEnd"/>
      <w:r w:rsidRPr="00556F1E">
        <w:rPr>
          <w:rFonts w:ascii="Times New Roman" w:hAnsi="Times New Roman" w:cs="Times New Roman"/>
          <w:i/>
          <w:lang w:val="en-US"/>
        </w:rPr>
        <w:t xml:space="preserve"> (U of Exeter) &amp; Florian </w:t>
      </w:r>
      <w:proofErr w:type="spellStart"/>
      <w:r w:rsidRPr="00556F1E">
        <w:rPr>
          <w:rFonts w:ascii="Times New Roman" w:hAnsi="Times New Roman" w:cs="Times New Roman"/>
          <w:i/>
          <w:lang w:val="en-US"/>
        </w:rPr>
        <w:t>Freitag</w:t>
      </w:r>
      <w:proofErr w:type="spellEnd"/>
      <w:r w:rsidRPr="00556F1E">
        <w:rPr>
          <w:rFonts w:ascii="Times New Roman" w:hAnsi="Times New Roman" w:cs="Times New Roman"/>
          <w:i/>
          <w:lang w:val="en-US"/>
        </w:rPr>
        <w:t xml:space="preserve"> (JGU Mainz)</w:t>
      </w:r>
    </w:p>
    <w:p w:rsidR="001F36AB" w:rsidRPr="00556F1E" w:rsidRDefault="001F36AB" w:rsidP="001F36AB">
      <w:pPr>
        <w:spacing w:line="360" w:lineRule="auto"/>
        <w:rPr>
          <w:rFonts w:ascii="Times New Roman" w:hAnsi="Times New Roman" w:cs="Times New Roman"/>
          <w:i/>
          <w:lang w:val="en-US"/>
        </w:rPr>
      </w:pPr>
    </w:p>
    <w:p w:rsidR="001F36AB" w:rsidRDefault="001F36AB" w:rsidP="001F36AB">
      <w:pPr>
        <w:spacing w:line="360" w:lineRule="auto"/>
        <w:rPr>
          <w:rFonts w:ascii="Times New Roman" w:hAnsi="Times New Roman" w:cs="Times New Roman"/>
          <w:lang w:val="en-US"/>
        </w:rPr>
      </w:pPr>
      <w:r w:rsidRPr="00556F1E">
        <w:rPr>
          <w:rFonts w:ascii="Times New Roman" w:hAnsi="Times New Roman" w:cs="Times New Roman"/>
          <w:lang w:val="en-US"/>
        </w:rPr>
        <w:t xml:space="preserve">One of </w:t>
      </w:r>
      <w:r>
        <w:rPr>
          <w:rFonts w:ascii="Times New Roman" w:hAnsi="Times New Roman" w:cs="Times New Roman"/>
          <w:lang w:val="en-US"/>
        </w:rPr>
        <w:t xml:space="preserve">the most widely discussed issues in academic research on themed environments pertains to the spread of design strategies originally developed for theme parks to other private, but also and especially to public urban spaces. Already in 1981, Margaret J. King </w:t>
      </w:r>
      <w:proofErr w:type="gramStart"/>
      <w:r>
        <w:rPr>
          <w:rFonts w:ascii="Times New Roman" w:hAnsi="Times New Roman" w:cs="Times New Roman"/>
          <w:lang w:val="en-US"/>
        </w:rPr>
        <w:t>noted that</w:t>
      </w:r>
      <w:proofErr w:type="gramEnd"/>
      <w:r>
        <w:rPr>
          <w:rFonts w:ascii="Times New Roman" w:hAnsi="Times New Roman" w:cs="Times New Roman"/>
          <w:lang w:val="en-US"/>
        </w:rPr>
        <w:t xml:space="preserve"> “theme parks are becoming prototypes for more and more of the ‘real’ environments [such as] the strip, shopping centers, malls, buildings public and private” (60). Starting in the early 1990s and using examples from </w:t>
      </w:r>
      <w:r>
        <w:rPr>
          <w:rFonts w:ascii="Times New Roman" w:eastAsia="Times New Roman" w:hAnsi="Times New Roman" w:cs="Times New Roman"/>
          <w:lang w:val="en-US"/>
        </w:rPr>
        <w:t xml:space="preserve">North American cities as diverse as New York, Montreal, Minneapolis, New Orleans, and Seattle, but also Medina, Ohio, as well as Anaheim, California, and Orlando, </w:t>
      </w:r>
      <w:r>
        <w:rPr>
          <w:rFonts w:ascii="Times New Roman" w:hAnsi="Times New Roman" w:cs="Times New Roman"/>
          <w:lang w:val="en-US"/>
        </w:rPr>
        <w:t>numerous critics from a large variety of academic disciplines have contributed to the debate about the increasing “</w:t>
      </w:r>
      <w:proofErr w:type="spellStart"/>
      <w:r>
        <w:rPr>
          <w:rFonts w:ascii="Times New Roman" w:hAnsi="Times New Roman" w:cs="Times New Roman"/>
          <w:lang w:val="en-US"/>
        </w:rPr>
        <w:t>Disneyfication</w:t>
      </w:r>
      <w:proofErr w:type="spellEnd"/>
      <w:r>
        <w:rPr>
          <w:rFonts w:ascii="Times New Roman" w:hAnsi="Times New Roman" w:cs="Times New Roman"/>
          <w:lang w:val="en-US"/>
        </w:rPr>
        <w:t>” of public urban spaces, variously identifying the resulting private simulations of public realms as “</w:t>
      </w:r>
      <w:proofErr w:type="spellStart"/>
      <w:r>
        <w:rPr>
          <w:rFonts w:ascii="Times New Roman" w:hAnsi="Times New Roman" w:cs="Times New Roman"/>
          <w:lang w:val="en-US"/>
        </w:rPr>
        <w:t>hypercities</w:t>
      </w:r>
      <w:proofErr w:type="spellEnd"/>
      <w:r>
        <w:rPr>
          <w:rFonts w:ascii="Times New Roman" w:hAnsi="Times New Roman" w:cs="Times New Roman"/>
          <w:lang w:val="en-US"/>
        </w:rPr>
        <w:t>” or “cities as theme parks” (</w:t>
      </w:r>
      <w:proofErr w:type="spellStart"/>
      <w:r>
        <w:rPr>
          <w:rFonts w:ascii="Times New Roman" w:hAnsi="Times New Roman" w:cs="Times New Roman"/>
          <w:lang w:val="en-US"/>
        </w:rPr>
        <w:t>Sorkin</w:t>
      </w:r>
      <w:proofErr w:type="spellEnd"/>
      <w:r>
        <w:rPr>
          <w:rFonts w:ascii="Times New Roman" w:hAnsi="Times New Roman" w:cs="Times New Roman"/>
          <w:lang w:val="en-US"/>
        </w:rPr>
        <w:t>), “</w:t>
      </w:r>
      <w:proofErr w:type="spellStart"/>
      <w:r>
        <w:rPr>
          <w:rFonts w:ascii="Times New Roman" w:hAnsi="Times New Roman" w:cs="Times New Roman"/>
          <w:lang w:val="en-US"/>
        </w:rPr>
        <w:t>urbanoid</w:t>
      </w:r>
      <w:proofErr w:type="spellEnd"/>
      <w:r>
        <w:rPr>
          <w:rFonts w:ascii="Times New Roman" w:hAnsi="Times New Roman" w:cs="Times New Roman"/>
          <w:lang w:val="en-US"/>
        </w:rPr>
        <w:t xml:space="preserve"> environments” (Goldberger), “quasi-urban” or “pseudo-public spaces” (</w:t>
      </w:r>
      <w:proofErr w:type="spellStart"/>
      <w:r>
        <w:rPr>
          <w:rFonts w:ascii="Times New Roman" w:hAnsi="Times New Roman" w:cs="Times New Roman"/>
          <w:lang w:val="en-US"/>
        </w:rPr>
        <w:t>Gottdiener</w:t>
      </w:r>
      <w:proofErr w:type="spellEnd"/>
      <w:r>
        <w:rPr>
          <w:rFonts w:ascii="Times New Roman" w:hAnsi="Times New Roman" w:cs="Times New Roman"/>
          <w:lang w:val="en-US"/>
        </w:rPr>
        <w:t>), “not-cities” (Marling), “non-place urban realms” (</w:t>
      </w:r>
      <w:proofErr w:type="spellStart"/>
      <w:r>
        <w:rPr>
          <w:rFonts w:ascii="Times New Roman" w:hAnsi="Times New Roman" w:cs="Times New Roman"/>
          <w:lang w:val="en-US"/>
        </w:rPr>
        <w:t>Carosso</w:t>
      </w:r>
      <w:proofErr w:type="spellEnd"/>
      <w:r>
        <w:rPr>
          <w:rFonts w:ascii="Times New Roman" w:hAnsi="Times New Roman" w:cs="Times New Roman"/>
          <w:lang w:val="en-US"/>
        </w:rPr>
        <w:t>), “</w:t>
      </w:r>
      <w:r w:rsidRPr="00D86E41">
        <w:rPr>
          <w:rFonts w:ascii="Times New Roman" w:hAnsi="Times New Roman" w:cs="Times New Roman"/>
          <w:lang w:val="en-US"/>
        </w:rPr>
        <w:t>privately-owned publicly-accessible spaces typically organized around a specific theme</w:t>
      </w:r>
      <w:r w:rsidRPr="00A97180">
        <w:rPr>
          <w:rFonts w:ascii="Times New Roman" w:hAnsi="Times New Roman" w:cs="Times New Roman"/>
          <w:lang w:val="en-US"/>
        </w:rPr>
        <w:t xml:space="preserve"> </w:t>
      </w:r>
      <w:r>
        <w:rPr>
          <w:rFonts w:ascii="Times New Roman" w:hAnsi="Times New Roman" w:cs="Times New Roman"/>
          <w:lang w:val="en-US"/>
        </w:rPr>
        <w:t>(</w:t>
      </w:r>
      <w:proofErr w:type="spellStart"/>
      <w:r>
        <w:rPr>
          <w:rFonts w:ascii="Times New Roman" w:hAnsi="Times New Roman" w:cs="Times New Roman"/>
          <w:lang w:val="en-US"/>
        </w:rPr>
        <w:t>PROPASts</w:t>
      </w:r>
      <w:proofErr w:type="spellEnd"/>
      <w:r>
        <w:rPr>
          <w:rFonts w:ascii="Times New Roman" w:hAnsi="Times New Roman" w:cs="Times New Roman"/>
          <w:lang w:val="en-US"/>
        </w:rPr>
        <w:t>)” (</w:t>
      </w:r>
      <w:proofErr w:type="spellStart"/>
      <w:r>
        <w:rPr>
          <w:rFonts w:ascii="Times New Roman" w:hAnsi="Times New Roman" w:cs="Times New Roman"/>
          <w:lang w:val="en-US"/>
        </w:rPr>
        <w:t>Mitrasinovic</w:t>
      </w:r>
      <w:proofErr w:type="spellEnd"/>
      <w:r>
        <w:rPr>
          <w:rFonts w:ascii="Times New Roman" w:hAnsi="Times New Roman" w:cs="Times New Roman"/>
          <w:lang w:val="en-US"/>
        </w:rPr>
        <w:t>), or simply “</w:t>
      </w:r>
      <w:proofErr w:type="spellStart"/>
      <w:r>
        <w:rPr>
          <w:rFonts w:ascii="Times New Roman" w:hAnsi="Times New Roman" w:cs="Times New Roman"/>
          <w:lang w:val="en-US"/>
        </w:rPr>
        <w:t>Disneyfied</w:t>
      </w:r>
      <w:proofErr w:type="spellEnd"/>
      <w:r>
        <w:rPr>
          <w:rFonts w:ascii="Times New Roman" w:hAnsi="Times New Roman" w:cs="Times New Roman"/>
          <w:lang w:val="en-US"/>
        </w:rPr>
        <w:t xml:space="preserve"> places” (Kolb).</w:t>
      </w:r>
    </w:p>
    <w:p w:rsidR="001F36AB" w:rsidRDefault="001F36AB" w:rsidP="001F36AB">
      <w:pPr>
        <w:spacing w:line="360" w:lineRule="auto"/>
        <w:rPr>
          <w:rFonts w:ascii="Times New Roman" w:eastAsia="Times New Roman" w:hAnsi="Times New Roman" w:cs="Times New Roman"/>
          <w:lang w:val="en-US"/>
        </w:rPr>
      </w:pPr>
      <w:r>
        <w:rPr>
          <w:rFonts w:ascii="Times New Roman" w:hAnsi="Times New Roman" w:cs="Times New Roman"/>
          <w:lang w:val="en-US"/>
        </w:rPr>
        <w:tab/>
        <w:t xml:space="preserve">However, in what </w:t>
      </w:r>
      <w:r>
        <w:rPr>
          <w:rFonts w:ascii="Times New Roman" w:eastAsia="Times New Roman" w:hAnsi="Times New Roman" w:cs="Times New Roman"/>
          <w:lang w:val="en-US"/>
        </w:rPr>
        <w:t xml:space="preserve">could be described as a “feedback loop of </w:t>
      </w:r>
      <w:proofErr w:type="spellStart"/>
      <w:r>
        <w:rPr>
          <w:rFonts w:ascii="Times New Roman" w:eastAsia="Times New Roman" w:hAnsi="Times New Roman" w:cs="Times New Roman"/>
          <w:lang w:val="en-US"/>
        </w:rPr>
        <w:t>Disneyfication</w:t>
      </w:r>
      <w:proofErr w:type="spellEnd"/>
      <w:r>
        <w:rPr>
          <w:rFonts w:ascii="Times New Roman" w:eastAsia="Times New Roman" w:hAnsi="Times New Roman" w:cs="Times New Roman"/>
          <w:lang w:val="en-US"/>
        </w:rPr>
        <w:t>” – or perhaps a classic case of a monster turning upon its creator – architectural and urban planning strategies developed for the “</w:t>
      </w:r>
      <w:proofErr w:type="spellStart"/>
      <w:r>
        <w:rPr>
          <w:rFonts w:ascii="Times New Roman" w:eastAsia="Times New Roman" w:hAnsi="Times New Roman" w:cs="Times New Roman"/>
          <w:lang w:val="en-US"/>
        </w:rPr>
        <w:t>Disneyfication</w:t>
      </w:r>
      <w:proofErr w:type="spellEnd"/>
      <w:r>
        <w:rPr>
          <w:rFonts w:ascii="Times New Roman" w:eastAsia="Times New Roman" w:hAnsi="Times New Roman" w:cs="Times New Roman"/>
          <w:lang w:val="en-US"/>
        </w:rPr>
        <w:t xml:space="preserve">” of public urban space, including raised pedestrian bridges and other examples of what </w:t>
      </w:r>
      <w:proofErr w:type="spellStart"/>
      <w:r>
        <w:rPr>
          <w:rFonts w:ascii="Times New Roman" w:eastAsia="Times New Roman" w:hAnsi="Times New Roman" w:cs="Times New Roman"/>
          <w:lang w:val="en-US"/>
        </w:rPr>
        <w:t>Gottdiener</w:t>
      </w:r>
      <w:proofErr w:type="spellEnd"/>
      <w:r>
        <w:rPr>
          <w:rFonts w:ascii="Times New Roman" w:eastAsia="Times New Roman" w:hAnsi="Times New Roman" w:cs="Times New Roman"/>
          <w:lang w:val="en-US"/>
        </w:rPr>
        <w:t xml:space="preserve"> has called “defensive architecture” (181), have also found their way back to the theme parks. There, they have served, much like elsewhere, to keep specific people (visitors) from accessing specific places that used to be open to anyone who had paid the admission. The results are simulated private spaces within simulated public spaces or “hyper-</w:t>
      </w:r>
      <w:proofErr w:type="spellStart"/>
      <w:r>
        <w:rPr>
          <w:rFonts w:ascii="Times New Roman" w:eastAsia="Times New Roman" w:hAnsi="Times New Roman" w:cs="Times New Roman"/>
          <w:lang w:val="en-US"/>
        </w:rPr>
        <w:t>Disneyfied</w:t>
      </w:r>
      <w:proofErr w:type="spellEnd"/>
      <w:r>
        <w:rPr>
          <w:rFonts w:ascii="Times New Roman" w:eastAsia="Times New Roman" w:hAnsi="Times New Roman" w:cs="Times New Roman"/>
          <w:lang w:val="en-US"/>
        </w:rPr>
        <w:t xml:space="preserve">” places that are restricted to a narrowly circumscribed group of customers, mostly based on additional fees. </w:t>
      </w:r>
    </w:p>
    <w:p w:rsidR="001F36AB" w:rsidRDefault="001F36AB" w:rsidP="001F36AB">
      <w:pPr>
        <w:spacing w:line="360" w:lineRule="auto"/>
        <w:rPr>
          <w:rFonts w:ascii="Times New Roman" w:eastAsia="Times New Roman" w:hAnsi="Times New Roman" w:cs="Times New Roman"/>
          <w:lang w:val="en-US"/>
        </w:rPr>
      </w:pPr>
      <w:r>
        <w:rPr>
          <w:rFonts w:ascii="Times New Roman" w:eastAsia="Times New Roman" w:hAnsi="Times New Roman" w:cs="Times New Roman"/>
          <w:lang w:val="en-US"/>
        </w:rPr>
        <w:tab/>
        <w:t xml:space="preserve">Our paper will proceed in two steps. First, we will briefly discuss “classic” cases of theme park simulations of public urban spaces such as Disneyland’s “Main Street, U.S.A.” or Terra </w:t>
      </w:r>
      <w:proofErr w:type="spellStart"/>
      <w:r>
        <w:rPr>
          <w:rFonts w:ascii="Times New Roman" w:eastAsia="Times New Roman" w:hAnsi="Times New Roman" w:cs="Times New Roman"/>
          <w:lang w:val="en-US"/>
        </w:rPr>
        <w:t>mítica’s</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Grecia</w:t>
      </w:r>
      <w:proofErr w:type="spellEnd"/>
      <w:r>
        <w:rPr>
          <w:rFonts w:ascii="Times New Roman" w:eastAsia="Times New Roman" w:hAnsi="Times New Roman" w:cs="Times New Roman"/>
          <w:lang w:val="en-US"/>
        </w:rPr>
        <w:t>,” which simulate public accessibility by drawing on such urban forms as the small-town main street and the European market square. Interestingly, theme parks have used these forms whether they are appropriate to the theme (as in the case of “Main Street”) or not (as in the case of the Acropolis at “</w:t>
      </w:r>
      <w:proofErr w:type="spellStart"/>
      <w:r>
        <w:rPr>
          <w:rFonts w:ascii="Times New Roman" w:eastAsia="Times New Roman" w:hAnsi="Times New Roman" w:cs="Times New Roman"/>
          <w:lang w:val="en-US"/>
        </w:rPr>
        <w:t>Grecia</w:t>
      </w:r>
      <w:proofErr w:type="spellEnd"/>
      <w:r>
        <w:rPr>
          <w:rFonts w:ascii="Times New Roman" w:eastAsia="Times New Roman" w:hAnsi="Times New Roman" w:cs="Times New Roman"/>
          <w:lang w:val="en-US"/>
        </w:rPr>
        <w:t xml:space="preserve">”). Second, we will use the example of Disneyland’s “New Orleans Square” to illustrate specific “feedback loops of </w:t>
      </w:r>
      <w:proofErr w:type="spellStart"/>
      <w:r>
        <w:rPr>
          <w:rFonts w:ascii="Times New Roman" w:eastAsia="Times New Roman" w:hAnsi="Times New Roman" w:cs="Times New Roman"/>
          <w:lang w:val="en-US"/>
        </w:rPr>
        <w:t>Disneyfication</w:t>
      </w:r>
      <w:proofErr w:type="spellEnd"/>
      <w:r>
        <w:rPr>
          <w:rFonts w:ascii="Times New Roman" w:eastAsia="Times New Roman" w:hAnsi="Times New Roman" w:cs="Times New Roman"/>
          <w:lang w:val="en-US"/>
        </w:rPr>
        <w:t xml:space="preserve">.” Both the creation of the “Disneyland Dream Suite,” an overnight </w:t>
      </w:r>
      <w:r>
        <w:rPr>
          <w:rFonts w:ascii="Times New Roman" w:eastAsia="Times New Roman" w:hAnsi="Times New Roman" w:cs="Times New Roman"/>
          <w:lang w:val="en-US"/>
        </w:rPr>
        <w:lastRenderedPageBreak/>
        <w:t xml:space="preserve">accommodation, in 2007 and the expansion of “Club 33,” a private bar/restaurant, in 2013/2014 at New Orleans Square necessitated the addition of staircases, ramps, and covered pedestrian bridges to the existing structures of the “Square.” Clearly visible to every visitor, the additions are simultaneously designed to discourage people from entering the spaces and to increase their desire to do so, which is, however, only possible in exchange for considerable amounts of money. As in the case of simulated public spaces elsewhere, New Orleans Square’s simulated private spaces are designed to maximize profits. </w:t>
      </w:r>
    </w:p>
    <w:p w:rsidR="001F36AB" w:rsidRDefault="001F36AB" w:rsidP="001F36AB">
      <w:pPr>
        <w:spacing w:line="360" w:lineRule="auto"/>
        <w:rPr>
          <w:rFonts w:ascii="Times New Roman" w:eastAsia="Times New Roman" w:hAnsi="Times New Roman" w:cs="Times New Roman"/>
          <w:lang w:val="en-US"/>
        </w:rPr>
      </w:pPr>
    </w:p>
    <w:p w:rsidR="002363C2" w:rsidRDefault="002363C2" w:rsidP="002363C2">
      <w:pPr>
        <w:spacing w:line="360" w:lineRule="auto"/>
        <w:rPr>
          <w:rFonts w:ascii="Times New Roman" w:hAnsi="Times New Roman" w:cs="Times New Roman"/>
          <w:b/>
          <w:lang w:val="en-US"/>
        </w:rPr>
      </w:pPr>
    </w:p>
    <w:p w:rsidR="002363C2" w:rsidRPr="00D86E41" w:rsidRDefault="002363C2" w:rsidP="002363C2">
      <w:pPr>
        <w:spacing w:line="360" w:lineRule="auto"/>
        <w:rPr>
          <w:rFonts w:ascii="Times New Roman" w:hAnsi="Times New Roman" w:cs="Times New Roman"/>
          <w:lang w:val="en-US"/>
        </w:rPr>
      </w:pPr>
      <w:r w:rsidRPr="001F36AB">
        <w:rPr>
          <w:rFonts w:ascii="Times New Roman" w:hAnsi="Times New Roman" w:cs="Times New Roman"/>
          <w:b/>
          <w:lang w:val="en-US"/>
        </w:rPr>
        <w:t xml:space="preserve">Filippo Carlà-Uhink </w:t>
      </w:r>
      <w:r>
        <w:rPr>
          <w:rFonts w:ascii="Times New Roman" w:hAnsi="Times New Roman" w:cs="Times New Roman"/>
          <w:lang w:val="en-US"/>
        </w:rPr>
        <w:t>studied Ancient History at the Universities of Turin and Udine, where he received his PhD in 2007 with a dissertation on gold coinage in Late Antiquity. After receiving two fellowships by the Fondazione CRT and Fondazione Pellegrino, he was lecturer in Ancient History at the University of Heidelberg (2008-2010) and then assistant professor for Cultural History of the Ancient World at the University of Mainz (2010-2014). Since 2014 he is lecturer in Classics and Ancient History at the University of Exeter, and starting with April 2017 he will be reader in History, Didactics of History and Public History at the University of Education Heidelberg (</w:t>
      </w:r>
      <w:proofErr w:type="spellStart"/>
      <w:r>
        <w:rPr>
          <w:rFonts w:ascii="Times New Roman" w:hAnsi="Times New Roman" w:cs="Times New Roman"/>
          <w:lang w:val="en-US"/>
        </w:rPr>
        <w:t>Pädagogische</w:t>
      </w:r>
      <w:proofErr w:type="spellEnd"/>
      <w:r>
        <w:rPr>
          <w:rFonts w:ascii="Times New Roman" w:hAnsi="Times New Roman" w:cs="Times New Roman"/>
          <w:lang w:val="en-US"/>
        </w:rPr>
        <w:t xml:space="preserve"> Hochschule). His main research interests include the cultural and social history of ancient Rome, and the reception of Classical Antiquity in modern popular culture. In this context, he started with Florian </w:t>
      </w:r>
      <w:proofErr w:type="spellStart"/>
      <w:r>
        <w:rPr>
          <w:rFonts w:ascii="Times New Roman" w:hAnsi="Times New Roman" w:cs="Times New Roman"/>
          <w:lang w:val="en-US"/>
        </w:rPr>
        <w:t>Freitag</w:t>
      </w:r>
      <w:proofErr w:type="spellEnd"/>
      <w:r>
        <w:rPr>
          <w:rFonts w:ascii="Times New Roman" w:hAnsi="Times New Roman" w:cs="Times New Roman"/>
          <w:lang w:val="en-US"/>
        </w:rPr>
        <w:t xml:space="preserve"> a research project on the representation of time and temporality in theme parks, within which he particularly analyzes the representations of Classical Greece in theme parks across Europe, the US and China.</w:t>
      </w:r>
    </w:p>
    <w:p w:rsidR="002363C2" w:rsidRDefault="002363C2" w:rsidP="002363C2">
      <w:pPr>
        <w:spacing w:line="360" w:lineRule="auto"/>
        <w:rPr>
          <w:rFonts w:ascii="Times New Roman" w:hAnsi="Times New Roman" w:cs="Times New Roman"/>
          <w:b/>
          <w:lang w:val="en-US"/>
        </w:rPr>
      </w:pPr>
    </w:p>
    <w:p w:rsidR="002363C2" w:rsidRPr="00CE42D7" w:rsidRDefault="002363C2" w:rsidP="002363C2">
      <w:pPr>
        <w:spacing w:line="360" w:lineRule="auto"/>
        <w:rPr>
          <w:rFonts w:ascii="Times New Roman" w:hAnsi="Times New Roman" w:cs="Times New Roman"/>
          <w:lang w:val="en-US"/>
        </w:rPr>
      </w:pPr>
      <w:bookmarkStart w:id="0" w:name="_GoBack"/>
      <w:r w:rsidRPr="001F36AB">
        <w:rPr>
          <w:rFonts w:ascii="Times New Roman" w:hAnsi="Times New Roman" w:cs="Times New Roman"/>
          <w:b/>
          <w:lang w:val="en-US"/>
        </w:rPr>
        <w:t xml:space="preserve">Florian </w:t>
      </w:r>
      <w:proofErr w:type="spellStart"/>
      <w:r w:rsidRPr="001F36AB">
        <w:rPr>
          <w:rFonts w:ascii="Times New Roman" w:hAnsi="Times New Roman" w:cs="Times New Roman"/>
          <w:b/>
          <w:lang w:val="en-US"/>
        </w:rPr>
        <w:t>Freitag</w:t>
      </w:r>
      <w:proofErr w:type="spellEnd"/>
      <w:r w:rsidRPr="00CE42D7">
        <w:rPr>
          <w:rFonts w:ascii="Times New Roman" w:hAnsi="Times New Roman" w:cs="Times New Roman"/>
          <w:lang w:val="en-US"/>
        </w:rPr>
        <w:t xml:space="preserve"> </w:t>
      </w:r>
      <w:bookmarkEnd w:id="0"/>
      <w:r w:rsidRPr="00CE42D7">
        <w:rPr>
          <w:rFonts w:ascii="Times New Roman" w:hAnsi="Times New Roman" w:cs="Times New Roman"/>
          <w:lang w:val="en-US"/>
        </w:rPr>
        <w:t>received his Ph.D. in American Studies from the University of Konstanz in 2011. Since then he has been lecturer (</w:t>
      </w:r>
      <w:proofErr w:type="spellStart"/>
      <w:r w:rsidRPr="00CE42D7">
        <w:rPr>
          <w:rFonts w:ascii="Times New Roman" w:hAnsi="Times New Roman" w:cs="Times New Roman"/>
          <w:lang w:val="en-US"/>
        </w:rPr>
        <w:t>wissenschaftlicher</w:t>
      </w:r>
      <w:proofErr w:type="spellEnd"/>
      <w:r w:rsidRPr="00CE42D7">
        <w:rPr>
          <w:rFonts w:ascii="Times New Roman" w:hAnsi="Times New Roman" w:cs="Times New Roman"/>
          <w:lang w:val="en-US"/>
        </w:rPr>
        <w:t xml:space="preserve"> </w:t>
      </w:r>
      <w:proofErr w:type="spellStart"/>
      <w:r w:rsidRPr="00CE42D7">
        <w:rPr>
          <w:rFonts w:ascii="Times New Roman" w:hAnsi="Times New Roman" w:cs="Times New Roman"/>
          <w:lang w:val="en-US"/>
        </w:rPr>
        <w:t>Mitarbeiter</w:t>
      </w:r>
      <w:proofErr w:type="spellEnd"/>
      <w:r w:rsidRPr="00CE42D7">
        <w:rPr>
          <w:rFonts w:ascii="Times New Roman" w:hAnsi="Times New Roman" w:cs="Times New Roman"/>
          <w:lang w:val="en-US"/>
        </w:rPr>
        <w:t>) in American Studies at Johannes</w:t>
      </w:r>
      <w:r>
        <w:rPr>
          <w:rFonts w:ascii="Times New Roman" w:hAnsi="Times New Roman" w:cs="Times New Roman"/>
          <w:lang w:val="en-US"/>
        </w:rPr>
        <w:t xml:space="preserve"> Gutenberg University Mainz. </w:t>
      </w:r>
      <w:proofErr w:type="spellStart"/>
      <w:r>
        <w:rPr>
          <w:rFonts w:ascii="Times New Roman" w:hAnsi="Times New Roman" w:cs="Times New Roman"/>
          <w:lang w:val="en-US"/>
        </w:rPr>
        <w:t>Freitag’s</w:t>
      </w:r>
      <w:proofErr w:type="spellEnd"/>
      <w:r>
        <w:rPr>
          <w:rFonts w:ascii="Times New Roman" w:hAnsi="Times New Roman" w:cs="Times New Roman"/>
          <w:lang w:val="en-US"/>
        </w:rPr>
        <w:t xml:space="preserve"> main</w:t>
      </w:r>
      <w:r w:rsidRPr="00CE42D7">
        <w:rPr>
          <w:rFonts w:ascii="Times New Roman" w:hAnsi="Times New Roman" w:cs="Times New Roman"/>
          <w:lang w:val="en-US"/>
        </w:rPr>
        <w:t xml:space="preserve"> research interests include</w:t>
      </w:r>
      <w:r>
        <w:rPr>
          <w:rFonts w:ascii="Times New Roman" w:hAnsi="Times New Roman" w:cs="Times New Roman"/>
          <w:lang w:val="en-US"/>
        </w:rPr>
        <w:t xml:space="preserve"> Comparative North American studies,</w:t>
      </w:r>
      <w:r w:rsidRPr="00CE42D7">
        <w:rPr>
          <w:rFonts w:ascii="Times New Roman" w:hAnsi="Times New Roman" w:cs="Times New Roman"/>
          <w:lang w:val="en-US"/>
        </w:rPr>
        <w:t xml:space="preserve"> </w:t>
      </w:r>
      <w:r>
        <w:rPr>
          <w:rFonts w:ascii="Times New Roman" w:hAnsi="Times New Roman" w:cs="Times New Roman"/>
          <w:lang w:val="en-US"/>
        </w:rPr>
        <w:t xml:space="preserve">literary </w:t>
      </w:r>
      <w:r w:rsidRPr="00CE42D7">
        <w:rPr>
          <w:rFonts w:ascii="Times New Roman" w:hAnsi="Times New Roman" w:cs="Times New Roman"/>
          <w:lang w:val="en-US"/>
        </w:rPr>
        <w:t xml:space="preserve">regionalism, Periodical studies, </w:t>
      </w:r>
      <w:r>
        <w:rPr>
          <w:rFonts w:ascii="Times New Roman" w:hAnsi="Times New Roman" w:cs="Times New Roman"/>
          <w:lang w:val="en-US"/>
        </w:rPr>
        <w:t xml:space="preserve">Performance studies, </w:t>
      </w:r>
      <w:r w:rsidRPr="00CE42D7">
        <w:rPr>
          <w:rFonts w:ascii="Times New Roman" w:hAnsi="Times New Roman" w:cs="Times New Roman"/>
          <w:lang w:val="en-US"/>
        </w:rPr>
        <w:t xml:space="preserve">and Theme Park studies. </w:t>
      </w:r>
      <w:proofErr w:type="spellStart"/>
      <w:r w:rsidRPr="00CE42D7">
        <w:rPr>
          <w:rFonts w:ascii="Times New Roman" w:hAnsi="Times New Roman" w:cs="Times New Roman"/>
          <w:lang w:val="en-US"/>
        </w:rPr>
        <w:t>Freitag</w:t>
      </w:r>
      <w:proofErr w:type="spellEnd"/>
      <w:r w:rsidRPr="00CE42D7">
        <w:rPr>
          <w:rFonts w:ascii="Times New Roman" w:hAnsi="Times New Roman" w:cs="Times New Roman"/>
          <w:lang w:val="en-US"/>
        </w:rPr>
        <w:t xml:space="preserve"> is the author of </w:t>
      </w:r>
      <w:r w:rsidRPr="00CE42D7">
        <w:rPr>
          <w:rFonts w:ascii="Times New Roman" w:hAnsi="Times New Roman" w:cs="Times New Roman"/>
          <w:i/>
          <w:iCs/>
          <w:lang w:val="en-US"/>
        </w:rPr>
        <w:t>The Farm Novel in North America</w:t>
      </w:r>
      <w:r w:rsidRPr="00CE42D7">
        <w:rPr>
          <w:rFonts w:ascii="Times New Roman" w:hAnsi="Times New Roman" w:cs="Times New Roman"/>
          <w:lang w:val="en-US"/>
        </w:rPr>
        <w:t xml:space="preserve"> (2013) and the co-editor of a collection on </w:t>
      </w:r>
      <w:r>
        <w:rPr>
          <w:rFonts w:ascii="Times New Roman" w:hAnsi="Times New Roman" w:cs="Times New Roman"/>
          <w:lang w:val="en-US"/>
        </w:rPr>
        <w:t>issues of time and temporality in theme parks (2017)</w:t>
      </w:r>
      <w:r w:rsidRPr="00CE42D7">
        <w:rPr>
          <w:rFonts w:ascii="Times New Roman" w:hAnsi="Times New Roman" w:cs="Times New Roman"/>
          <w:lang w:val="en-US"/>
        </w:rPr>
        <w:t xml:space="preserve">. His other work has appeared in </w:t>
      </w:r>
      <w:proofErr w:type="spellStart"/>
      <w:r w:rsidRPr="00CE42D7">
        <w:rPr>
          <w:rFonts w:ascii="Times New Roman" w:hAnsi="Times New Roman" w:cs="Times New Roman"/>
          <w:i/>
          <w:iCs/>
          <w:lang w:val="en-US"/>
        </w:rPr>
        <w:t>Amerikastudien</w:t>
      </w:r>
      <w:proofErr w:type="spellEnd"/>
      <w:r w:rsidRPr="00CE42D7">
        <w:rPr>
          <w:rFonts w:ascii="Times New Roman" w:hAnsi="Times New Roman" w:cs="Times New Roman"/>
          <w:i/>
          <w:iCs/>
          <w:lang w:val="en-US"/>
        </w:rPr>
        <w:t>/American Studies</w:t>
      </w:r>
      <w:r w:rsidRPr="00CE42D7">
        <w:rPr>
          <w:rFonts w:ascii="Times New Roman" w:hAnsi="Times New Roman" w:cs="Times New Roman"/>
          <w:lang w:val="en-US"/>
        </w:rPr>
        <w:t xml:space="preserve">, </w:t>
      </w:r>
      <w:r>
        <w:rPr>
          <w:rFonts w:ascii="Times New Roman" w:hAnsi="Times New Roman" w:cs="Times New Roman"/>
          <w:i/>
          <w:iCs/>
          <w:lang w:val="en-US"/>
        </w:rPr>
        <w:t>Studies in American Naturalism</w:t>
      </w:r>
      <w:r w:rsidRPr="00CE42D7">
        <w:rPr>
          <w:rFonts w:ascii="Times New Roman" w:hAnsi="Times New Roman" w:cs="Times New Roman"/>
          <w:lang w:val="en-US"/>
        </w:rPr>
        <w:t xml:space="preserve">, </w:t>
      </w:r>
      <w:r w:rsidRPr="00CE42D7">
        <w:rPr>
          <w:rFonts w:ascii="Times New Roman" w:hAnsi="Times New Roman" w:cs="Times New Roman"/>
          <w:i/>
          <w:iCs/>
          <w:lang w:val="en-US"/>
        </w:rPr>
        <w:t>Canadian Literature</w:t>
      </w:r>
      <w:r w:rsidRPr="00CE42D7">
        <w:rPr>
          <w:rFonts w:ascii="Times New Roman" w:hAnsi="Times New Roman" w:cs="Times New Roman"/>
          <w:lang w:val="en-US"/>
        </w:rPr>
        <w:t xml:space="preserve">, </w:t>
      </w:r>
      <w:r w:rsidRPr="00CE42D7">
        <w:rPr>
          <w:rFonts w:ascii="Times New Roman" w:hAnsi="Times New Roman" w:cs="Times New Roman"/>
          <w:i/>
          <w:iCs/>
          <w:lang w:val="en-US"/>
        </w:rPr>
        <w:t>The Journal of Popular Culture</w:t>
      </w:r>
      <w:r w:rsidRPr="00CE42D7">
        <w:rPr>
          <w:rFonts w:ascii="Times New Roman" w:hAnsi="Times New Roman" w:cs="Times New Roman"/>
          <w:lang w:val="en-US"/>
        </w:rPr>
        <w:t xml:space="preserve">, </w:t>
      </w:r>
      <w:r>
        <w:rPr>
          <w:rFonts w:ascii="Times New Roman" w:hAnsi="Times New Roman" w:cs="Times New Roman"/>
          <w:i/>
          <w:lang w:val="en-US"/>
        </w:rPr>
        <w:t xml:space="preserve">Classical Receptions </w:t>
      </w:r>
      <w:r w:rsidRPr="00CF3E8E">
        <w:rPr>
          <w:rFonts w:ascii="Times New Roman" w:hAnsi="Times New Roman" w:cs="Times New Roman"/>
          <w:i/>
          <w:lang w:val="en-US"/>
        </w:rPr>
        <w:t>Journal</w:t>
      </w:r>
      <w:r>
        <w:rPr>
          <w:rFonts w:ascii="Times New Roman" w:hAnsi="Times New Roman" w:cs="Times New Roman"/>
          <w:lang w:val="en-US"/>
        </w:rPr>
        <w:t xml:space="preserve">, </w:t>
      </w:r>
      <w:r w:rsidRPr="00CF3E8E">
        <w:rPr>
          <w:rFonts w:ascii="Times New Roman" w:hAnsi="Times New Roman" w:cs="Times New Roman"/>
          <w:lang w:val="en-US"/>
        </w:rPr>
        <w:t>and</w:t>
      </w:r>
      <w:r w:rsidRPr="00CE42D7">
        <w:rPr>
          <w:rFonts w:ascii="Times New Roman" w:hAnsi="Times New Roman" w:cs="Times New Roman"/>
          <w:lang w:val="en-US"/>
        </w:rPr>
        <w:t xml:space="preserve"> the </w:t>
      </w:r>
      <w:r w:rsidRPr="00CE42D7">
        <w:rPr>
          <w:rFonts w:ascii="Times New Roman" w:hAnsi="Times New Roman" w:cs="Times New Roman"/>
          <w:i/>
          <w:iCs/>
          <w:lang w:val="en-US"/>
        </w:rPr>
        <w:t>Palgrave Handbook of Comparative North American Literature</w:t>
      </w:r>
      <w:r w:rsidRPr="00CE42D7">
        <w:rPr>
          <w:rFonts w:ascii="Times New Roman" w:hAnsi="Times New Roman" w:cs="Times New Roman"/>
          <w:lang w:val="en-US"/>
        </w:rPr>
        <w:t xml:space="preserve">. </w:t>
      </w:r>
      <w:proofErr w:type="spellStart"/>
      <w:r w:rsidRPr="00CE42D7">
        <w:rPr>
          <w:rFonts w:ascii="Times New Roman" w:hAnsi="Times New Roman" w:cs="Times New Roman"/>
          <w:lang w:val="en-US"/>
        </w:rPr>
        <w:t>Freitag’s</w:t>
      </w:r>
      <w:proofErr w:type="spellEnd"/>
      <w:r w:rsidRPr="00CE42D7">
        <w:rPr>
          <w:rFonts w:ascii="Times New Roman" w:hAnsi="Times New Roman" w:cs="Times New Roman"/>
          <w:lang w:val="en-US"/>
        </w:rPr>
        <w:t xml:space="preserve"> </w:t>
      </w:r>
      <w:r>
        <w:rPr>
          <w:rFonts w:ascii="Times New Roman" w:hAnsi="Times New Roman" w:cs="Times New Roman"/>
          <w:lang w:val="en-US"/>
        </w:rPr>
        <w:t>projects have been</w:t>
      </w:r>
      <w:r w:rsidRPr="00CE42D7">
        <w:rPr>
          <w:rFonts w:ascii="Times New Roman" w:hAnsi="Times New Roman" w:cs="Times New Roman"/>
          <w:lang w:val="en-US"/>
        </w:rPr>
        <w:t xml:space="preserve"> funded by the German Research Foundation</w:t>
      </w:r>
      <w:r>
        <w:rPr>
          <w:rFonts w:ascii="Times New Roman" w:hAnsi="Times New Roman" w:cs="Times New Roman"/>
          <w:lang w:val="en-US"/>
        </w:rPr>
        <w:t xml:space="preserve"> (DFG) and the Volkswagen Foundation. </w:t>
      </w:r>
    </w:p>
    <w:p w:rsidR="00E65E8A" w:rsidRPr="002363C2" w:rsidRDefault="00E65E8A">
      <w:pPr>
        <w:rPr>
          <w:lang w:val="en-US"/>
        </w:rPr>
      </w:pPr>
    </w:p>
    <w:sectPr w:rsidR="00E65E8A" w:rsidRPr="002363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3C2"/>
    <w:rsid w:val="001F36AB"/>
    <w:rsid w:val="002363C2"/>
    <w:rsid w:val="005138A4"/>
    <w:rsid w:val="00DF2BCE"/>
    <w:rsid w:val="00E65E8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63C2"/>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63C2"/>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8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924</Words>
  <Characters>4575</Characters>
  <Application>Microsoft Macintosh Word</Application>
  <DocSecurity>0</DocSecurity>
  <Lines>103</Lines>
  <Paragraphs>25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Carlà</dc:creator>
  <cp:keywords/>
  <dc:description/>
  <cp:lastModifiedBy>Florian Freitag</cp:lastModifiedBy>
  <cp:revision>2</cp:revision>
  <dcterms:created xsi:type="dcterms:W3CDTF">2017-03-04T14:42:00Z</dcterms:created>
  <dcterms:modified xsi:type="dcterms:W3CDTF">2017-03-04T14:42:00Z</dcterms:modified>
</cp:coreProperties>
</file>