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3C" w:rsidRPr="00343606" w:rsidRDefault="00125CDD">
      <w:pPr>
        <w:pStyle w:val="Corpsdetexte"/>
        <w:tabs>
          <w:tab w:val="left" w:pos="707"/>
        </w:tabs>
        <w:spacing w:after="0" w:line="360" w:lineRule="auto"/>
        <w:rPr>
          <w:rFonts w:cs="Times New Roman"/>
        </w:rPr>
      </w:pPr>
      <w:r w:rsidRPr="00343606">
        <w:rPr>
          <w:rFonts w:cs="Times New Roman"/>
        </w:rPr>
        <w:t>Sabina Owsianowska, PhD</w:t>
      </w:r>
    </w:p>
    <w:p w:rsidR="00241B3C" w:rsidRPr="00343606" w:rsidRDefault="00343606">
      <w:pPr>
        <w:pStyle w:val="Corpsdetexte"/>
        <w:tabs>
          <w:tab w:val="left" w:pos="707"/>
        </w:tabs>
        <w:spacing w:after="0" w:line="360" w:lineRule="auto"/>
        <w:rPr>
          <w:rFonts w:cs="Times New Roman"/>
        </w:rPr>
      </w:pPr>
      <w:hyperlink r:id="rId6" w:history="1">
        <w:r w:rsidR="00125CDD" w:rsidRPr="00343606">
          <w:rPr>
            <w:rStyle w:val="Lienhypertexte"/>
            <w:rFonts w:cs="Times New Roman"/>
          </w:rPr>
          <w:t>sabina.owsianowska@wp.pl</w:t>
        </w:r>
      </w:hyperlink>
      <w:r w:rsidR="00125CDD" w:rsidRPr="00343606">
        <w:rPr>
          <w:rFonts w:cs="Times New Roman"/>
        </w:rPr>
        <w:t xml:space="preserve"> or </w:t>
      </w:r>
      <w:hyperlink r:id="rId7" w:history="1">
        <w:r w:rsidR="00125CDD" w:rsidRPr="00343606">
          <w:rPr>
            <w:rStyle w:val="Lienhypertexte"/>
            <w:rFonts w:cs="Times New Roman"/>
          </w:rPr>
          <w:t>sabina.owsianowska@awf.krakow.pl</w:t>
        </w:r>
      </w:hyperlink>
    </w:p>
    <w:p w:rsidR="00241B3C" w:rsidRPr="00343606" w:rsidRDefault="00241B3C">
      <w:pPr>
        <w:pStyle w:val="Corpsdetexte"/>
        <w:tabs>
          <w:tab w:val="left" w:pos="707"/>
        </w:tabs>
        <w:spacing w:after="0" w:line="360" w:lineRule="auto"/>
        <w:ind w:left="707" w:hanging="283"/>
        <w:rPr>
          <w:rFonts w:cs="Times New Roman"/>
          <w:lang w:val="en-US"/>
        </w:rPr>
      </w:pPr>
    </w:p>
    <w:p w:rsidR="00241B3C" w:rsidRPr="00343606" w:rsidRDefault="00125CDD">
      <w:pPr>
        <w:pStyle w:val="Corpsdetexte"/>
        <w:tabs>
          <w:tab w:val="left" w:pos="707"/>
        </w:tabs>
        <w:spacing w:after="0" w:line="360" w:lineRule="auto"/>
        <w:jc w:val="center"/>
        <w:rPr>
          <w:rFonts w:cs="Times New Roman"/>
          <w:lang w:val="en-US"/>
        </w:rPr>
      </w:pPr>
      <w:r w:rsidRPr="00343606">
        <w:rPr>
          <w:rFonts w:cs="Times New Roman"/>
          <w:sz w:val="28"/>
          <w:szCs w:val="28"/>
          <w:lang w:val="en-US"/>
        </w:rPr>
        <w:t xml:space="preserve">Architecture of Multiethnic Towns of Eastern Poland in Virtual Tourist Routes </w:t>
      </w:r>
      <w:r w:rsidRPr="00343606">
        <w:rPr>
          <w:rFonts w:cs="Times New Roman"/>
          <w:lang w:val="en-US"/>
        </w:rPr>
        <w:t xml:space="preserve"> </w:t>
      </w:r>
    </w:p>
    <w:p w:rsidR="00241B3C" w:rsidRPr="00343606" w:rsidRDefault="00241B3C">
      <w:pPr>
        <w:pStyle w:val="Corpsdetexte"/>
        <w:tabs>
          <w:tab w:val="left" w:pos="707"/>
        </w:tabs>
        <w:spacing w:after="0" w:line="360" w:lineRule="auto"/>
        <w:rPr>
          <w:rFonts w:cs="Times New Roman"/>
          <w:lang w:val="en-US"/>
        </w:rPr>
      </w:pPr>
    </w:p>
    <w:p w:rsidR="00241B3C" w:rsidRPr="00343606" w:rsidRDefault="00125CDD">
      <w:pPr>
        <w:pStyle w:val="Corpsdetexte"/>
        <w:tabs>
          <w:tab w:val="left" w:pos="707"/>
        </w:tabs>
        <w:spacing w:after="0" w:line="360" w:lineRule="auto"/>
        <w:rPr>
          <w:rFonts w:cs="Times New Roman"/>
          <w:lang w:val="en-US"/>
        </w:rPr>
      </w:pPr>
      <w:r w:rsidRPr="00343606">
        <w:rPr>
          <w:rFonts w:cs="Times New Roman"/>
          <w:lang w:val="en-US"/>
        </w:rPr>
        <w:t xml:space="preserve">Abstract </w:t>
      </w:r>
    </w:p>
    <w:p w:rsidR="00241B3C" w:rsidRPr="00343606" w:rsidRDefault="00125CDD" w:rsidP="00A87CFE">
      <w:pPr>
        <w:pStyle w:val="Default"/>
        <w:tabs>
          <w:tab w:val="left" w:pos="707"/>
        </w:tabs>
        <w:spacing w:line="360" w:lineRule="auto"/>
        <w:jc w:val="both"/>
        <w:rPr>
          <w:rFonts w:ascii="Times New Roman" w:hAnsi="Times New Roman" w:cs="Times New Roman"/>
          <w:lang w:val="en-US"/>
        </w:rPr>
      </w:pPr>
      <w:r w:rsidRPr="00343606">
        <w:rPr>
          <w:rFonts w:ascii="Times New Roman" w:hAnsi="Times New Roman" w:cs="Times New Roman"/>
          <w:lang w:val="en-US"/>
        </w:rPr>
        <w:t>There are at least three levels of analysis of the topic of my paper. Firstly, using virtual ethnography methods I refer to the ways in which the built - both existing and non-existing any more in real world - environment of multiethnic towns of Eastern Poland is expressed in virtual tourist routes. Re-created in heritage tourism discourse, they - in return - reshape contemporary spaces and places, revealing dissonances and diverse meanings. Secondly,</w:t>
      </w:r>
      <w:bookmarkStart w:id="0" w:name="_GoBack"/>
      <w:r w:rsidRPr="00343606">
        <w:rPr>
          <w:rFonts w:ascii="Times New Roman" w:hAnsi="Times New Roman" w:cs="Times New Roman"/>
          <w:lang w:val="en-US"/>
        </w:rPr>
        <w:t xml:space="preserve"> </w:t>
      </w:r>
      <w:bookmarkEnd w:id="0"/>
      <w:r w:rsidRPr="00343606">
        <w:rPr>
          <w:rFonts w:ascii="Times New Roman" w:hAnsi="Times New Roman" w:cs="Times New Roman"/>
          <w:lang w:val="en-US"/>
        </w:rPr>
        <w:t>taking into consideration the results of a semiotic analysis, I present architecture as iconic guides to ethnicity and nationality, evoking the ambiguity of that role in the view of growing influence of extreme nationalist and populist movements. However, what is worth underlying, the main idea of the described projects lies in better understanding of the complexity of multicultural pasts and in building bridges between the representatives of different groups. Thirdly, I briefly discuss the broader context of the process of Europeanization in (post)socialist countries. Eastern Poland is especially rich in multicultural heritage but, at the same time, after the decades of totalitarian regimes there are still a lot of  unresolved historical issues there. For that reason, it is crucial to anticipate the possible impact of a cultural and/or tourist project on local communities and make effort in explaining all doubts.</w:t>
      </w:r>
    </w:p>
    <w:p w:rsidR="00241B3C" w:rsidRPr="00343606" w:rsidRDefault="00241B3C">
      <w:pPr>
        <w:pStyle w:val="Default"/>
        <w:tabs>
          <w:tab w:val="left" w:pos="707"/>
        </w:tabs>
        <w:spacing w:line="360" w:lineRule="auto"/>
        <w:ind w:hanging="15"/>
        <w:jc w:val="both"/>
        <w:rPr>
          <w:rFonts w:ascii="Times New Roman" w:hAnsi="Times New Roman" w:cs="Times New Roman"/>
          <w:lang w:val="en-US"/>
        </w:rPr>
      </w:pPr>
    </w:p>
    <w:p w:rsidR="00A87CFE" w:rsidRPr="00343606" w:rsidRDefault="00125CDD" w:rsidP="00343606">
      <w:pPr>
        <w:pStyle w:val="Default"/>
        <w:tabs>
          <w:tab w:val="left" w:pos="707"/>
        </w:tabs>
        <w:spacing w:line="360" w:lineRule="auto"/>
        <w:ind w:hanging="15"/>
        <w:jc w:val="both"/>
        <w:rPr>
          <w:rFonts w:ascii="Times New Roman" w:hAnsi="Times New Roman" w:cs="Times New Roman"/>
          <w:lang w:val="en-US"/>
        </w:rPr>
      </w:pPr>
      <w:r w:rsidRPr="00343606">
        <w:rPr>
          <w:rFonts w:ascii="Times New Roman" w:hAnsi="Times New Roman" w:cs="Times New Roman"/>
          <w:lang w:val="en-US"/>
        </w:rPr>
        <w:t xml:space="preserve">After the fall of communism, the destinations such as </w:t>
      </w:r>
      <w:proofErr w:type="spellStart"/>
      <w:r w:rsidRPr="00343606">
        <w:rPr>
          <w:rFonts w:ascii="Times New Roman" w:hAnsi="Times New Roman" w:cs="Times New Roman"/>
          <w:lang w:val="en-US"/>
        </w:rPr>
        <w:t>Zamosc</w:t>
      </w:r>
      <w:proofErr w:type="spellEnd"/>
      <w:r w:rsidRPr="00343606">
        <w:rPr>
          <w:rFonts w:ascii="Times New Roman" w:hAnsi="Times New Roman" w:cs="Times New Roman"/>
          <w:lang w:val="en-US"/>
        </w:rPr>
        <w:t xml:space="preserve">, Lublin, </w:t>
      </w:r>
      <w:proofErr w:type="spellStart"/>
      <w:r w:rsidRPr="00343606">
        <w:rPr>
          <w:rFonts w:ascii="Times New Roman" w:hAnsi="Times New Roman" w:cs="Times New Roman"/>
          <w:lang w:val="en-US"/>
        </w:rPr>
        <w:t>Przemysl</w:t>
      </w:r>
      <w:proofErr w:type="spellEnd"/>
      <w:r w:rsidRPr="00343606">
        <w:rPr>
          <w:rFonts w:ascii="Times New Roman" w:hAnsi="Times New Roman" w:cs="Times New Roman"/>
          <w:lang w:val="en-US"/>
        </w:rPr>
        <w:t xml:space="preserve"> or </w:t>
      </w:r>
      <w:proofErr w:type="spellStart"/>
      <w:r w:rsidRPr="00343606">
        <w:rPr>
          <w:rFonts w:ascii="Times New Roman" w:hAnsi="Times New Roman" w:cs="Times New Roman"/>
          <w:lang w:val="en-US"/>
        </w:rPr>
        <w:t>Białystok</w:t>
      </w:r>
      <w:proofErr w:type="spellEnd"/>
      <w:r w:rsidRPr="00343606">
        <w:rPr>
          <w:rFonts w:ascii="Times New Roman" w:hAnsi="Times New Roman" w:cs="Times New Roman"/>
          <w:lang w:val="en-US"/>
        </w:rPr>
        <w:t xml:space="preserve"> started to create tourism products based on their multicultural heritage and to reinterpret the legacy in the new political circumstances. The local municipalities searched for new promotional solutions and the examples of their activity might be: "The Fortress </w:t>
      </w:r>
      <w:proofErr w:type="spellStart"/>
      <w:r w:rsidRPr="00343606">
        <w:rPr>
          <w:rFonts w:ascii="Times New Roman" w:hAnsi="Times New Roman" w:cs="Times New Roman"/>
          <w:lang w:val="en-US"/>
        </w:rPr>
        <w:t>Zamosc</w:t>
      </w:r>
      <w:proofErr w:type="spellEnd"/>
      <w:r w:rsidRPr="00343606">
        <w:rPr>
          <w:rFonts w:ascii="Times New Roman" w:hAnsi="Times New Roman" w:cs="Times New Roman"/>
          <w:lang w:val="en-US"/>
        </w:rPr>
        <w:t xml:space="preserve">" or "The Adventures of the Good Soldier </w:t>
      </w:r>
      <w:proofErr w:type="spellStart"/>
      <w:r w:rsidRPr="00343606">
        <w:rPr>
          <w:rFonts w:ascii="Times New Roman" w:hAnsi="Times New Roman" w:cs="Times New Roman"/>
          <w:lang w:val="en-US"/>
        </w:rPr>
        <w:t>Svejk</w:t>
      </w:r>
      <w:proofErr w:type="spellEnd"/>
      <w:r w:rsidRPr="00343606">
        <w:rPr>
          <w:rFonts w:ascii="Times New Roman" w:hAnsi="Times New Roman" w:cs="Times New Roman"/>
          <w:lang w:val="en-US"/>
        </w:rPr>
        <w:t xml:space="preserve">" in </w:t>
      </w:r>
      <w:proofErr w:type="spellStart"/>
      <w:r w:rsidRPr="00343606">
        <w:rPr>
          <w:rFonts w:ascii="Times New Roman" w:hAnsi="Times New Roman" w:cs="Times New Roman"/>
          <w:lang w:val="en-US"/>
        </w:rPr>
        <w:t>Przemysl</w:t>
      </w:r>
      <w:proofErr w:type="spellEnd"/>
      <w:r w:rsidRPr="00343606">
        <w:rPr>
          <w:rFonts w:ascii="Times New Roman" w:hAnsi="Times New Roman" w:cs="Times New Roman"/>
          <w:lang w:val="en-US"/>
        </w:rPr>
        <w:t xml:space="preserve"> (both related mainly to the remnants of military architecture and history);  „</w:t>
      </w:r>
      <w:proofErr w:type="spellStart"/>
      <w:r w:rsidRPr="00343606">
        <w:rPr>
          <w:rFonts w:ascii="Times New Roman" w:hAnsi="Times New Roman" w:cs="Times New Roman"/>
          <w:lang w:val="en-US"/>
        </w:rPr>
        <w:t>Zamosc</w:t>
      </w:r>
      <w:proofErr w:type="spellEnd"/>
      <w:r w:rsidRPr="00343606">
        <w:rPr>
          <w:rFonts w:ascii="Times New Roman" w:hAnsi="Times New Roman" w:cs="Times New Roman"/>
          <w:lang w:val="en-US"/>
        </w:rPr>
        <w:t xml:space="preserve"> – an Ideal Town”, referring to its renaissance urban character; "Multicultural Route" in Lublin and so on. These projects are accompanied by virtual tools such as games, films, panoramic virtual tours etc. However, the increasing interest in tourism development has also stimulated the growth of heritage industry intensively drawing from multicultural pasts of the borderland regions and concentrating on the world which </w:t>
      </w:r>
      <w:proofErr w:type="spellStart"/>
      <w:r w:rsidRPr="00343606">
        <w:rPr>
          <w:rFonts w:ascii="Times New Roman" w:hAnsi="Times New Roman" w:cs="Times New Roman"/>
          <w:lang w:val="en-US"/>
        </w:rPr>
        <w:t>dissapeared</w:t>
      </w:r>
      <w:proofErr w:type="spellEnd"/>
      <w:r w:rsidRPr="00343606">
        <w:rPr>
          <w:rFonts w:ascii="Times New Roman" w:hAnsi="Times New Roman" w:cs="Times New Roman"/>
          <w:lang w:val="en-US"/>
        </w:rPr>
        <w:t xml:space="preserve"> during and after the World War 2. Initiatives such as "Virtual Shtetl" or "Shtetl Routes" have as a goal to re-enter the knowledge about and images of the multi-ethnic heritage into the public discourse. The first is a centre of documentation and historical narratives about Jewish people and culture in the pre-war Central and Eastern Europe. The latter concerns cross-border trails, including approx. 60 places in </w:t>
      </w:r>
      <w:r w:rsidRPr="00343606">
        <w:rPr>
          <w:rFonts w:ascii="Times New Roman" w:hAnsi="Times New Roman" w:cs="Times New Roman"/>
          <w:lang w:val="en-US"/>
        </w:rPr>
        <w:lastRenderedPageBreak/>
        <w:t xml:space="preserve">Poland, Ukraine and Belarus, as well as virtual means, i.e. guidebooks and 3D re-creation of 15 non-existing towns. The next step is the revitalization of still existing sites, reconstruction of the destroyed buildings (e.g. a wooden, 17th-century synagogue in </w:t>
      </w:r>
      <w:proofErr w:type="spellStart"/>
      <w:r w:rsidRPr="00343606">
        <w:rPr>
          <w:rFonts w:ascii="Times New Roman" w:hAnsi="Times New Roman" w:cs="Times New Roman"/>
          <w:lang w:val="en-US"/>
        </w:rPr>
        <w:t>Bilgoraj</w:t>
      </w:r>
      <w:proofErr w:type="spellEnd"/>
      <w:r w:rsidRPr="00343606">
        <w:rPr>
          <w:rFonts w:ascii="Times New Roman" w:hAnsi="Times New Roman" w:cs="Times New Roman"/>
          <w:lang w:val="en-US"/>
        </w:rPr>
        <w:t>) or even establishing completely new objects with different functions (e.g. an  open-air museum or a theme park). As a result, all actors involved in the domain of tourism, heritage and architecture can observe and examine mutual relationships between virtual and real worlds.</w:t>
      </w:r>
    </w:p>
    <w:p w:rsidR="00A87CFE" w:rsidRPr="00343606" w:rsidRDefault="00A87CFE">
      <w:pPr>
        <w:pStyle w:val="NormalWeb1"/>
        <w:spacing w:line="360" w:lineRule="auto"/>
        <w:jc w:val="both"/>
        <w:rPr>
          <w:lang w:val="en-US"/>
        </w:rPr>
      </w:pPr>
    </w:p>
    <w:p w:rsidR="00A87CFE" w:rsidRPr="00343606" w:rsidRDefault="00A87CFE">
      <w:pPr>
        <w:pStyle w:val="NormalWeb1"/>
        <w:spacing w:line="360" w:lineRule="auto"/>
        <w:jc w:val="both"/>
        <w:rPr>
          <w:lang w:val="en-US"/>
        </w:rPr>
      </w:pPr>
    </w:p>
    <w:p w:rsidR="00241B3C" w:rsidRPr="00343606" w:rsidRDefault="00125CDD">
      <w:pPr>
        <w:pStyle w:val="NormalWeb1"/>
        <w:spacing w:line="360" w:lineRule="auto"/>
        <w:jc w:val="both"/>
        <w:rPr>
          <w:lang w:val="en-US"/>
        </w:rPr>
      </w:pPr>
      <w:r w:rsidRPr="00343606">
        <w:rPr>
          <w:lang w:val="en-US"/>
        </w:rPr>
        <w:t xml:space="preserve">Sabina </w:t>
      </w:r>
      <w:proofErr w:type="spellStart"/>
      <w:r w:rsidRPr="00343606">
        <w:rPr>
          <w:lang w:val="en-US"/>
        </w:rPr>
        <w:t>Owsianowska</w:t>
      </w:r>
      <w:proofErr w:type="spellEnd"/>
      <w:r w:rsidRPr="00343606">
        <w:rPr>
          <w:lang w:val="en-US"/>
        </w:rPr>
        <w:t xml:space="preserve">, PhD </w:t>
      </w:r>
    </w:p>
    <w:p w:rsidR="00241B3C" w:rsidRPr="00343606" w:rsidRDefault="00125CDD">
      <w:pPr>
        <w:pStyle w:val="NormalWeb1"/>
        <w:spacing w:line="360" w:lineRule="auto"/>
        <w:jc w:val="both"/>
        <w:rPr>
          <w:lang w:val="en-US"/>
        </w:rPr>
      </w:pPr>
      <w:r w:rsidRPr="00343606">
        <w:rPr>
          <w:lang w:val="en-US"/>
        </w:rPr>
        <w:t>Department of Theory of Leisure and Tourism, Faculty of Tourism and Leisure, University of Physical Education in Cracow, Poland</w:t>
      </w:r>
    </w:p>
    <w:p w:rsidR="00241B3C" w:rsidRPr="00343606" w:rsidRDefault="00241B3C">
      <w:pPr>
        <w:pStyle w:val="NormalWeb1"/>
        <w:spacing w:line="200" w:lineRule="atLeast"/>
        <w:jc w:val="both"/>
        <w:rPr>
          <w:lang w:val="en-US"/>
        </w:rPr>
      </w:pPr>
    </w:p>
    <w:p w:rsidR="00241B3C" w:rsidRPr="00343606" w:rsidRDefault="00125CDD">
      <w:pPr>
        <w:tabs>
          <w:tab w:val="left" w:pos="707"/>
        </w:tabs>
        <w:spacing w:line="360" w:lineRule="auto"/>
        <w:jc w:val="both"/>
        <w:rPr>
          <w:rFonts w:cs="Times New Roman"/>
          <w:lang w:val="en-US"/>
        </w:rPr>
      </w:pPr>
      <w:r w:rsidRPr="00343606">
        <w:rPr>
          <w:rFonts w:cs="Times New Roman"/>
          <w:lang w:val="en-US"/>
        </w:rPr>
        <w:t xml:space="preserve">Assistant professor at the Department of the Theory of Leisure and Tourism at the University of Physical Education in Cracow and lecturer at the Institute of Intercultural Studies, the </w:t>
      </w:r>
      <w:proofErr w:type="spellStart"/>
      <w:r w:rsidRPr="00343606">
        <w:rPr>
          <w:rFonts w:cs="Times New Roman"/>
          <w:lang w:val="en-US"/>
        </w:rPr>
        <w:t>Jagiellonian</w:t>
      </w:r>
      <w:proofErr w:type="spellEnd"/>
      <w:r w:rsidRPr="00343606">
        <w:rPr>
          <w:rFonts w:cs="Times New Roman"/>
          <w:lang w:val="en-US"/>
        </w:rPr>
        <w:t xml:space="preserve"> University in Cracow, as well as in international projects conducted in collaboration between the Czech, Slovak and Polish universities. She conducts classes for Erasmus students in tourism and heritage studies and was visiting professor at the University of </w:t>
      </w:r>
      <w:proofErr w:type="spellStart"/>
      <w:r w:rsidRPr="00343606">
        <w:rPr>
          <w:rFonts w:cs="Times New Roman"/>
          <w:lang w:val="en-US"/>
        </w:rPr>
        <w:t>Primorska</w:t>
      </w:r>
      <w:proofErr w:type="spellEnd"/>
      <w:r w:rsidRPr="00343606">
        <w:rPr>
          <w:rFonts w:cs="Times New Roman"/>
          <w:lang w:val="en-US"/>
        </w:rPr>
        <w:t xml:space="preserve"> in Slovenia and Rovaniemi University of Applied Sciences in Finland. Her main research interests: anthropological studies on tourism; (i</w:t>
      </w:r>
      <w:r w:rsidR="004E69F6" w:rsidRPr="00343606">
        <w:rPr>
          <w:rFonts w:cs="Times New Roman"/>
          <w:lang w:val="en-US"/>
        </w:rPr>
        <w:t>n)tangible heritage; dissonant/</w:t>
      </w:r>
      <w:r w:rsidRPr="00343606">
        <w:rPr>
          <w:rFonts w:cs="Times New Roman"/>
          <w:lang w:val="en-US"/>
        </w:rPr>
        <w:t>difficult heritage in Central and Eastern Europe; sem</w:t>
      </w:r>
      <w:r w:rsidR="00A87CFE" w:rsidRPr="00343606">
        <w:rPr>
          <w:rFonts w:cs="Times New Roman"/>
          <w:lang w:val="en-US"/>
        </w:rPr>
        <w:t>iotics of tourism</w:t>
      </w:r>
      <w:r w:rsidRPr="00343606">
        <w:rPr>
          <w:rFonts w:cs="Times New Roman"/>
          <w:lang w:val="en-US"/>
        </w:rPr>
        <w:t xml:space="preserve">.  </w:t>
      </w:r>
    </w:p>
    <w:p w:rsidR="00241B3C" w:rsidRPr="00343606" w:rsidRDefault="00125CDD">
      <w:pPr>
        <w:tabs>
          <w:tab w:val="left" w:pos="707"/>
        </w:tabs>
        <w:spacing w:line="360" w:lineRule="auto"/>
        <w:jc w:val="both"/>
        <w:rPr>
          <w:rFonts w:cs="Times New Roman"/>
          <w:lang w:val="en-US"/>
        </w:rPr>
      </w:pPr>
      <w:r w:rsidRPr="00343606">
        <w:rPr>
          <w:rFonts w:cs="Times New Roman"/>
          <w:lang w:val="en-US"/>
        </w:rPr>
        <w:t>The author and co-author of several book chapters, journal articles, conf</w:t>
      </w:r>
      <w:r w:rsidR="00A87CFE" w:rsidRPr="00343606">
        <w:rPr>
          <w:rFonts w:cs="Times New Roman"/>
          <w:lang w:val="en-US"/>
        </w:rPr>
        <w:t>erence proceedings and reviews (</w:t>
      </w:r>
      <w:r w:rsidRPr="00343606">
        <w:rPr>
          <w:rFonts w:cs="Times New Roman"/>
          <w:lang w:val="en-US"/>
        </w:rPr>
        <w:t xml:space="preserve">published in “Folia </w:t>
      </w:r>
      <w:proofErr w:type="spellStart"/>
      <w:r w:rsidRPr="00343606">
        <w:rPr>
          <w:rFonts w:cs="Times New Roman"/>
          <w:lang w:val="en-US"/>
        </w:rPr>
        <w:t>Turistica</w:t>
      </w:r>
      <w:proofErr w:type="spellEnd"/>
      <w:r w:rsidRPr="00343606">
        <w:rPr>
          <w:rFonts w:cs="Times New Roman"/>
          <w:lang w:val="en-US"/>
        </w:rPr>
        <w:t>”, “Journal of Tourism and Cultural Change”, “Tourism, Culture and Communication”, “Annals of Tourism Research”</w:t>
      </w:r>
      <w:r w:rsidR="004E69F6" w:rsidRPr="00343606">
        <w:rPr>
          <w:rFonts w:cs="Times New Roman"/>
          <w:lang w:val="en-US"/>
        </w:rPr>
        <w:t>, “Journal of Heritage Tourism”</w:t>
      </w:r>
      <w:r w:rsidR="00A87CFE" w:rsidRPr="00343606">
        <w:rPr>
          <w:rFonts w:cs="Times New Roman"/>
          <w:lang w:val="en-US"/>
        </w:rPr>
        <w:t>)</w:t>
      </w:r>
      <w:r w:rsidRPr="00343606">
        <w:rPr>
          <w:rFonts w:cs="Times New Roman"/>
          <w:lang w:val="en-US"/>
        </w:rPr>
        <w:t xml:space="preserve">; co-editor - with R. </w:t>
      </w:r>
      <w:proofErr w:type="spellStart"/>
      <w:r w:rsidRPr="00343606">
        <w:rPr>
          <w:rFonts w:cs="Times New Roman"/>
          <w:lang w:val="en-US"/>
        </w:rPr>
        <w:t>Winiarski</w:t>
      </w:r>
      <w:proofErr w:type="spellEnd"/>
      <w:r w:rsidRPr="00343606">
        <w:rPr>
          <w:rFonts w:cs="Times New Roman"/>
          <w:lang w:val="en-US"/>
        </w:rPr>
        <w:t xml:space="preserve"> - of the volume on anthropo</w:t>
      </w:r>
      <w:r w:rsidR="00A87CFE" w:rsidRPr="00343606">
        <w:rPr>
          <w:rFonts w:cs="Times New Roman"/>
          <w:lang w:val="en-US"/>
        </w:rPr>
        <w:t>logy of tourism (2016</w:t>
      </w:r>
      <w:r w:rsidRPr="00343606">
        <w:rPr>
          <w:rFonts w:cs="Times New Roman"/>
          <w:lang w:val="en-US"/>
        </w:rPr>
        <w:t xml:space="preserve">, in press) and - with M. </w:t>
      </w:r>
      <w:proofErr w:type="spellStart"/>
      <w:r w:rsidRPr="00343606">
        <w:rPr>
          <w:rFonts w:cs="Times New Roman"/>
          <w:lang w:val="en-US"/>
        </w:rPr>
        <w:t>Banaszkiewicz</w:t>
      </w:r>
      <w:proofErr w:type="spellEnd"/>
      <w:r w:rsidRPr="00343606">
        <w:rPr>
          <w:rFonts w:cs="Times New Roman"/>
          <w:lang w:val="en-US"/>
        </w:rPr>
        <w:t xml:space="preserve"> - of the three thematic issues of scientific journals, devoted to the interpretation of heritage and tourism anthropology (2015, 2016), as well as the monograph “After the Iron Curtain. Anthropology of Tourism in Central and Eastern Europe” (Lexington Books, 2017</w:t>
      </w:r>
      <w:r w:rsidR="004E69F6" w:rsidRPr="00343606">
        <w:rPr>
          <w:rFonts w:cs="Times New Roman"/>
          <w:lang w:val="en-US"/>
        </w:rPr>
        <w:t>, in preparation</w:t>
      </w:r>
      <w:r w:rsidRPr="00343606">
        <w:rPr>
          <w:rFonts w:cs="Times New Roman"/>
          <w:lang w:val="en-US"/>
        </w:rPr>
        <w:t>). In 2015, she was the main co-organizer o</w:t>
      </w:r>
      <w:r w:rsidR="00A87CFE" w:rsidRPr="00343606">
        <w:rPr>
          <w:rFonts w:cs="Times New Roman"/>
          <w:lang w:val="en-US"/>
        </w:rPr>
        <w:t>f the c</w:t>
      </w:r>
      <w:r w:rsidRPr="00343606">
        <w:rPr>
          <w:rFonts w:cs="Times New Roman"/>
          <w:lang w:val="en-US"/>
        </w:rPr>
        <w:t xml:space="preserve">onference “Anthropology of Tourism – Heritage and Perspectives” </w:t>
      </w:r>
      <w:r w:rsidR="00A87CFE" w:rsidRPr="00343606">
        <w:rPr>
          <w:rFonts w:cs="Times New Roman"/>
          <w:lang w:val="en-US"/>
        </w:rPr>
        <w:t xml:space="preserve">in </w:t>
      </w:r>
      <w:r w:rsidRPr="00343606">
        <w:rPr>
          <w:rFonts w:cs="Times New Roman"/>
          <w:lang w:val="en-US"/>
        </w:rPr>
        <w:t xml:space="preserve">Cracow, Poland. </w:t>
      </w:r>
    </w:p>
    <w:p w:rsidR="00241B3C" w:rsidRPr="00343606" w:rsidRDefault="00241B3C">
      <w:pPr>
        <w:pStyle w:val="Corpsdetexte"/>
        <w:tabs>
          <w:tab w:val="left" w:pos="707"/>
        </w:tabs>
        <w:spacing w:line="360" w:lineRule="auto"/>
        <w:jc w:val="both"/>
        <w:rPr>
          <w:rStyle w:val="Domylnaczcionkaakapitu1"/>
          <w:rFonts w:cs="Times New Roman"/>
          <w:lang w:val="en-US"/>
        </w:rPr>
      </w:pPr>
    </w:p>
    <w:p w:rsidR="00241B3C" w:rsidRPr="00343606" w:rsidRDefault="00241B3C">
      <w:pPr>
        <w:tabs>
          <w:tab w:val="left" w:pos="707"/>
        </w:tabs>
        <w:spacing w:line="360" w:lineRule="auto"/>
        <w:jc w:val="both"/>
        <w:rPr>
          <w:rFonts w:cs="Times New Roman"/>
          <w:lang w:val="en-US"/>
        </w:rPr>
      </w:pPr>
    </w:p>
    <w:p w:rsidR="00241B3C" w:rsidRPr="00343606" w:rsidRDefault="00241B3C">
      <w:pPr>
        <w:spacing w:line="360" w:lineRule="auto"/>
        <w:jc w:val="both"/>
        <w:rPr>
          <w:rFonts w:cs="Times New Roman"/>
          <w:i/>
          <w:iCs/>
          <w:lang w:val="en-US"/>
        </w:rPr>
      </w:pPr>
    </w:p>
    <w:p w:rsidR="00125CDD" w:rsidRPr="00343606" w:rsidRDefault="00125CDD">
      <w:pPr>
        <w:spacing w:line="360" w:lineRule="auto"/>
        <w:rPr>
          <w:rFonts w:cs="Times New Roman"/>
          <w:lang w:val="en-US"/>
        </w:rPr>
      </w:pPr>
    </w:p>
    <w:sectPr w:rsidR="00125CDD" w:rsidRPr="0034360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F6"/>
    <w:rsid w:val="00125CDD"/>
    <w:rsid w:val="00241B3C"/>
    <w:rsid w:val="00343606"/>
    <w:rsid w:val="003551F8"/>
    <w:rsid w:val="004E69F6"/>
    <w:rsid w:val="00A87CFE"/>
    <w:rsid w:val="00B35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Symbolewypunktowania">
    <w:name w:val="Symbole wypunktowania"/>
    <w:rPr>
      <w:rFonts w:ascii="OpenSymbol" w:eastAsia="OpenSymbol" w:hAnsi="OpenSymbol" w:cs="OpenSymbol"/>
    </w:rPr>
  </w:style>
  <w:style w:type="character" w:styleId="Lienhypertexte">
    <w:name w:val="Hyperlink"/>
    <w:rPr>
      <w:color w:val="000080"/>
      <w:u w:val="single"/>
    </w:rPr>
  </w:style>
  <w:style w:type="character" w:customStyle="1" w:styleId="Policepardfaut1">
    <w:name w:val="Police par défaut1"/>
  </w:style>
  <w:style w:type="character" w:customStyle="1" w:styleId="st">
    <w:name w:val="st"/>
    <w:basedOn w:val="Policepardfaut1"/>
  </w:style>
  <w:style w:type="character" w:customStyle="1" w:styleId="Domylnaczcionkaakapitu1">
    <w:name w:val="Domyślna czcionka akapitu1"/>
  </w:style>
  <w:style w:type="paragraph" w:customStyle="1" w:styleId="Nagwek1">
    <w:name w:val="Nagłówek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Podpis1">
    <w:name w:val="Podpis1"/>
    <w:basedOn w:val="Normal"/>
    <w:pPr>
      <w:suppressLineNumbers/>
      <w:spacing w:before="120" w:after="120"/>
    </w:pPr>
    <w:rPr>
      <w:i/>
      <w:iCs/>
    </w:rPr>
  </w:style>
  <w:style w:type="paragraph" w:customStyle="1" w:styleId="Indeks">
    <w:name w:val="Indeks"/>
    <w:basedOn w:val="Normal"/>
    <w:pPr>
      <w:suppressLineNumbers/>
    </w:pPr>
  </w:style>
  <w:style w:type="paragraph" w:customStyle="1" w:styleId="Default">
    <w:name w:val="Default"/>
    <w:basedOn w:val="Normal"/>
    <w:pPr>
      <w:autoSpaceDE w:val="0"/>
    </w:pPr>
    <w:rPr>
      <w:rFonts w:ascii="Cambria" w:eastAsia="Cambria" w:hAnsi="Cambria" w:cs="Cambria"/>
      <w:color w:val="000000"/>
    </w:rPr>
  </w:style>
  <w:style w:type="paragraph" w:customStyle="1" w:styleId="NormalWeb1">
    <w:name w:val="Normal (Web)1"/>
    <w:basedOn w:val="Normal"/>
    <w:pPr>
      <w:spacing w:before="28" w:after="28" w:line="100" w:lineRule="atLeas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Symbolewypunktowania">
    <w:name w:val="Symbole wypunktowania"/>
    <w:rPr>
      <w:rFonts w:ascii="OpenSymbol" w:eastAsia="OpenSymbol" w:hAnsi="OpenSymbol" w:cs="OpenSymbol"/>
    </w:rPr>
  </w:style>
  <w:style w:type="character" w:styleId="Lienhypertexte">
    <w:name w:val="Hyperlink"/>
    <w:rPr>
      <w:color w:val="000080"/>
      <w:u w:val="single"/>
    </w:rPr>
  </w:style>
  <w:style w:type="character" w:customStyle="1" w:styleId="Policepardfaut1">
    <w:name w:val="Police par défaut1"/>
  </w:style>
  <w:style w:type="character" w:customStyle="1" w:styleId="st">
    <w:name w:val="st"/>
    <w:basedOn w:val="Policepardfaut1"/>
  </w:style>
  <w:style w:type="character" w:customStyle="1" w:styleId="Domylnaczcionkaakapitu1">
    <w:name w:val="Domyślna czcionka akapitu1"/>
  </w:style>
  <w:style w:type="paragraph" w:customStyle="1" w:styleId="Nagwek1">
    <w:name w:val="Nagłówek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Podpis1">
    <w:name w:val="Podpis1"/>
    <w:basedOn w:val="Normal"/>
    <w:pPr>
      <w:suppressLineNumbers/>
      <w:spacing w:before="120" w:after="120"/>
    </w:pPr>
    <w:rPr>
      <w:i/>
      <w:iCs/>
    </w:rPr>
  </w:style>
  <w:style w:type="paragraph" w:customStyle="1" w:styleId="Indeks">
    <w:name w:val="Indeks"/>
    <w:basedOn w:val="Normal"/>
    <w:pPr>
      <w:suppressLineNumbers/>
    </w:pPr>
  </w:style>
  <w:style w:type="paragraph" w:customStyle="1" w:styleId="Default">
    <w:name w:val="Default"/>
    <w:basedOn w:val="Normal"/>
    <w:pPr>
      <w:autoSpaceDE w:val="0"/>
    </w:pPr>
    <w:rPr>
      <w:rFonts w:ascii="Cambria" w:eastAsia="Cambria" w:hAnsi="Cambria" w:cs="Cambria"/>
      <w:color w:val="000000"/>
    </w:rPr>
  </w:style>
  <w:style w:type="paragraph" w:customStyle="1" w:styleId="NormalWeb1">
    <w:name w:val="Normal (Web)1"/>
    <w:basedOn w:val="Normal"/>
    <w:pPr>
      <w:spacing w:before="28" w:after="28" w:line="100" w:lineRule="atLeas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bina.owsianowska@awf.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ina.owsianows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4439</Characters>
  <Application>Microsoft Office Word</Application>
  <DocSecurity>0</DocSecurity>
  <Lines>36</Lines>
  <Paragraphs>10</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Acer</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owsianowska</dc:creator>
  <cp:lastModifiedBy>Carmen Tudor</cp:lastModifiedBy>
  <cp:revision>3</cp:revision>
  <cp:lastPrinted>1900-12-31T23:00:00Z</cp:lastPrinted>
  <dcterms:created xsi:type="dcterms:W3CDTF">2017-02-19T11:53:00Z</dcterms:created>
  <dcterms:modified xsi:type="dcterms:W3CDTF">2017-02-24T11:31:00Z</dcterms:modified>
</cp:coreProperties>
</file>